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7C5" w:rsidRDefault="001047C5" w:rsidP="001047C5">
      <w:pPr>
        <w:pBdr>
          <w:top w:val="single" w:sz="4" w:space="1" w:color="auto"/>
          <w:left w:val="single" w:sz="4" w:space="4" w:color="auto"/>
          <w:bottom w:val="single" w:sz="4" w:space="1" w:color="auto"/>
          <w:right w:val="single" w:sz="4" w:space="4" w:color="auto"/>
        </w:pBdr>
        <w:spacing w:after="0"/>
        <w:jc w:val="center"/>
        <w:rPr>
          <w:rFonts w:ascii="Arial" w:hAnsi="Arial" w:cs="Arial"/>
          <w:b/>
        </w:rPr>
      </w:pPr>
    </w:p>
    <w:p w:rsidR="001047C5" w:rsidRDefault="00310E20" w:rsidP="001047C5">
      <w:pPr>
        <w:pBdr>
          <w:top w:val="single" w:sz="4" w:space="1" w:color="auto"/>
          <w:left w:val="single" w:sz="4" w:space="4" w:color="auto"/>
          <w:bottom w:val="single" w:sz="4" w:space="1" w:color="auto"/>
          <w:right w:val="single" w:sz="4" w:space="4" w:color="auto"/>
        </w:pBdr>
        <w:spacing w:after="0"/>
        <w:jc w:val="center"/>
        <w:rPr>
          <w:rFonts w:ascii="Arial" w:hAnsi="Arial" w:cs="Arial"/>
          <w:b/>
        </w:rPr>
      </w:pPr>
      <w:r>
        <w:rPr>
          <w:rFonts w:ascii="Arial" w:hAnsi="Arial" w:cs="Arial"/>
          <w:b/>
        </w:rPr>
        <w:t>A</w:t>
      </w:r>
      <w:r w:rsidR="006C3446">
        <w:rPr>
          <w:rFonts w:ascii="Arial" w:hAnsi="Arial" w:cs="Arial"/>
          <w:b/>
        </w:rPr>
        <w:t xml:space="preserve">venant n°3 à </w:t>
      </w:r>
      <w:r w:rsidR="00FF266B" w:rsidRPr="004F7B05">
        <w:rPr>
          <w:rFonts w:ascii="Arial" w:hAnsi="Arial" w:cs="Arial"/>
          <w:b/>
        </w:rPr>
        <w:t xml:space="preserve">l’accord </w:t>
      </w:r>
      <w:r w:rsidR="006127CF">
        <w:rPr>
          <w:rFonts w:ascii="Arial" w:hAnsi="Arial" w:cs="Arial"/>
          <w:b/>
        </w:rPr>
        <w:t xml:space="preserve">du </w:t>
      </w:r>
      <w:r w:rsidR="00FF266B" w:rsidRPr="004F7B05">
        <w:rPr>
          <w:rFonts w:ascii="Arial" w:hAnsi="Arial" w:cs="Arial"/>
          <w:b/>
        </w:rPr>
        <w:t>26 septembre 2014</w:t>
      </w:r>
      <w:r w:rsidR="00607D41" w:rsidRPr="004F7B05">
        <w:rPr>
          <w:rFonts w:ascii="Arial" w:hAnsi="Arial" w:cs="Arial"/>
          <w:b/>
        </w:rPr>
        <w:t xml:space="preserve"> </w:t>
      </w:r>
      <w:r w:rsidR="006C3446">
        <w:rPr>
          <w:rFonts w:ascii="Arial" w:hAnsi="Arial" w:cs="Arial"/>
          <w:b/>
        </w:rPr>
        <w:t>relatif au développement de la formation tout au long de la vie professionnelle au sein de la branche du travail temporaire</w:t>
      </w:r>
    </w:p>
    <w:p w:rsidR="00A96963" w:rsidRDefault="006C3446" w:rsidP="001047C5">
      <w:pPr>
        <w:pBdr>
          <w:top w:val="single" w:sz="4" w:space="1" w:color="auto"/>
          <w:left w:val="single" w:sz="4" w:space="4" w:color="auto"/>
          <w:bottom w:val="single" w:sz="4" w:space="1" w:color="auto"/>
          <w:right w:val="single" w:sz="4" w:space="4" w:color="auto"/>
        </w:pBdr>
        <w:spacing w:after="0"/>
        <w:jc w:val="center"/>
        <w:rPr>
          <w:rFonts w:ascii="Arial" w:hAnsi="Arial" w:cs="Arial"/>
        </w:rPr>
      </w:pPr>
      <w:bookmarkStart w:id="0" w:name="_GoBack"/>
      <w:bookmarkEnd w:id="0"/>
      <w:r>
        <w:rPr>
          <w:rFonts w:ascii="Arial" w:hAnsi="Arial" w:cs="Arial"/>
          <w:b/>
        </w:rPr>
        <w:t xml:space="preserve"> </w:t>
      </w:r>
    </w:p>
    <w:p w:rsidR="006C3446" w:rsidRDefault="006C3446" w:rsidP="006C3446">
      <w:pPr>
        <w:jc w:val="both"/>
        <w:rPr>
          <w:rFonts w:ascii="Arial" w:hAnsi="Arial" w:cs="Arial"/>
        </w:rPr>
      </w:pPr>
    </w:p>
    <w:p w:rsidR="0013235A" w:rsidRPr="006C3446" w:rsidRDefault="00530C91" w:rsidP="006C3446">
      <w:pPr>
        <w:jc w:val="both"/>
        <w:rPr>
          <w:rFonts w:ascii="Arial" w:hAnsi="Arial" w:cs="Arial"/>
        </w:rPr>
      </w:pPr>
      <w:r w:rsidRPr="006C3446">
        <w:rPr>
          <w:rFonts w:ascii="Arial" w:hAnsi="Arial" w:cs="Arial"/>
        </w:rPr>
        <w:t>D</w:t>
      </w:r>
      <w:r w:rsidR="00FF266B" w:rsidRPr="006C3446">
        <w:rPr>
          <w:rFonts w:ascii="Arial" w:hAnsi="Arial" w:cs="Arial"/>
        </w:rPr>
        <w:t xml:space="preserve">ans </w:t>
      </w:r>
      <w:r w:rsidR="006C3446">
        <w:rPr>
          <w:rFonts w:ascii="Arial" w:hAnsi="Arial" w:cs="Arial"/>
        </w:rPr>
        <w:t xml:space="preserve">le cadre de </w:t>
      </w:r>
      <w:r w:rsidR="00FF266B" w:rsidRPr="006C3446">
        <w:rPr>
          <w:rFonts w:ascii="Arial" w:hAnsi="Arial" w:cs="Arial"/>
        </w:rPr>
        <w:t xml:space="preserve">l’accord du 26 septembre 2014 </w:t>
      </w:r>
      <w:r w:rsidR="00914062" w:rsidRPr="006C3446">
        <w:rPr>
          <w:rFonts w:ascii="Arial" w:hAnsi="Arial" w:cs="Arial"/>
        </w:rPr>
        <w:t xml:space="preserve">relatif à </w:t>
      </w:r>
      <w:r w:rsidR="00607D41" w:rsidRPr="006C3446">
        <w:rPr>
          <w:rFonts w:ascii="Arial" w:hAnsi="Arial" w:cs="Arial"/>
        </w:rPr>
        <w:t xml:space="preserve">la formation professionnelle, les </w:t>
      </w:r>
      <w:r w:rsidR="009C4B38" w:rsidRPr="006C3446">
        <w:rPr>
          <w:rFonts w:ascii="Arial" w:hAnsi="Arial" w:cs="Arial"/>
        </w:rPr>
        <w:t>p</w:t>
      </w:r>
      <w:r w:rsidR="00607D41" w:rsidRPr="006C3446">
        <w:rPr>
          <w:rFonts w:ascii="Arial" w:hAnsi="Arial" w:cs="Arial"/>
        </w:rPr>
        <w:t>artenaires sociaux de la branche ont créé</w:t>
      </w:r>
      <w:r w:rsidR="006A4012" w:rsidRPr="006C3446">
        <w:rPr>
          <w:rFonts w:ascii="Arial" w:hAnsi="Arial" w:cs="Arial"/>
        </w:rPr>
        <w:t xml:space="preserve"> pour les </w:t>
      </w:r>
      <w:r w:rsidR="006C3446">
        <w:rPr>
          <w:rFonts w:ascii="Arial" w:hAnsi="Arial" w:cs="Arial"/>
        </w:rPr>
        <w:t>entreprises de travail temporaire</w:t>
      </w:r>
      <w:r w:rsidR="00914B04">
        <w:rPr>
          <w:rFonts w:ascii="Arial" w:hAnsi="Arial" w:cs="Arial"/>
        </w:rPr>
        <w:t xml:space="preserve">, </w:t>
      </w:r>
      <w:r w:rsidR="00607D41" w:rsidRPr="006C3446">
        <w:rPr>
          <w:rFonts w:ascii="Arial" w:hAnsi="Arial" w:cs="Arial"/>
        </w:rPr>
        <w:t>une obligation d’i</w:t>
      </w:r>
      <w:r w:rsidR="0041387E" w:rsidRPr="006C3446">
        <w:rPr>
          <w:rFonts w:ascii="Arial" w:hAnsi="Arial" w:cs="Arial"/>
        </w:rPr>
        <w:t xml:space="preserve">nvestissement formation fixée </w:t>
      </w:r>
      <w:r w:rsidR="00607D41" w:rsidRPr="006C3446">
        <w:rPr>
          <w:rFonts w:ascii="Arial" w:hAnsi="Arial" w:cs="Arial"/>
        </w:rPr>
        <w:t xml:space="preserve">à 0.6% </w:t>
      </w:r>
      <w:r w:rsidR="00FB6ECC" w:rsidRPr="006C3446">
        <w:rPr>
          <w:rFonts w:ascii="Arial" w:hAnsi="Arial" w:cs="Arial"/>
        </w:rPr>
        <w:t>de la masse salariale</w:t>
      </w:r>
      <w:r w:rsidR="0013235A" w:rsidRPr="006C3446">
        <w:rPr>
          <w:rFonts w:ascii="Arial" w:hAnsi="Arial" w:cs="Arial"/>
        </w:rPr>
        <w:t xml:space="preserve">. </w:t>
      </w:r>
    </w:p>
    <w:p w:rsidR="006C3446" w:rsidRDefault="0041387E" w:rsidP="006C3446">
      <w:pPr>
        <w:jc w:val="both"/>
        <w:rPr>
          <w:rFonts w:ascii="Arial" w:hAnsi="Arial" w:cs="Arial"/>
        </w:rPr>
      </w:pPr>
      <w:r w:rsidRPr="006C3446">
        <w:rPr>
          <w:rFonts w:ascii="Arial" w:hAnsi="Arial" w:cs="Arial"/>
        </w:rPr>
        <w:t>Cet</w:t>
      </w:r>
      <w:r w:rsidR="0013235A" w:rsidRPr="006C3446">
        <w:rPr>
          <w:rFonts w:ascii="Arial" w:hAnsi="Arial" w:cs="Arial"/>
        </w:rPr>
        <w:t xml:space="preserve"> investissement formation</w:t>
      </w:r>
      <w:r w:rsidR="004F7B05" w:rsidRPr="006C3446">
        <w:rPr>
          <w:rFonts w:ascii="Arial" w:hAnsi="Arial" w:cs="Arial"/>
        </w:rPr>
        <w:t xml:space="preserve"> </w:t>
      </w:r>
      <w:r w:rsidR="00530C91" w:rsidRPr="006C3446">
        <w:rPr>
          <w:rFonts w:ascii="Arial" w:hAnsi="Arial" w:cs="Arial"/>
        </w:rPr>
        <w:t xml:space="preserve">peut </w:t>
      </w:r>
      <w:r w:rsidR="009C4B38" w:rsidRPr="006C3446">
        <w:rPr>
          <w:rFonts w:ascii="Arial" w:hAnsi="Arial" w:cs="Arial"/>
        </w:rPr>
        <w:t xml:space="preserve">soit être </w:t>
      </w:r>
      <w:r w:rsidR="004F7B05" w:rsidRPr="006C3446">
        <w:rPr>
          <w:rFonts w:ascii="Arial" w:hAnsi="Arial" w:cs="Arial"/>
        </w:rPr>
        <w:t>géré en entreprise, soit</w:t>
      </w:r>
      <w:r w:rsidR="0013235A" w:rsidRPr="006C3446">
        <w:rPr>
          <w:rFonts w:ascii="Arial" w:hAnsi="Arial" w:cs="Arial"/>
        </w:rPr>
        <w:t xml:space="preserve"> </w:t>
      </w:r>
      <w:r w:rsidR="006A4012" w:rsidRPr="006C3446">
        <w:rPr>
          <w:rFonts w:ascii="Arial" w:hAnsi="Arial" w:cs="Arial"/>
        </w:rPr>
        <w:t>versé</w:t>
      </w:r>
      <w:r w:rsidR="00914062" w:rsidRPr="006C3446">
        <w:rPr>
          <w:rFonts w:ascii="Arial" w:hAnsi="Arial" w:cs="Arial"/>
        </w:rPr>
        <w:t xml:space="preserve"> en tout ou partie</w:t>
      </w:r>
      <w:r w:rsidR="006A4012" w:rsidRPr="006C3446">
        <w:rPr>
          <w:rFonts w:ascii="Arial" w:hAnsi="Arial" w:cs="Arial"/>
          <w:color w:val="FF0000"/>
        </w:rPr>
        <w:t xml:space="preserve"> </w:t>
      </w:r>
      <w:r w:rsidR="009C4B38" w:rsidRPr="006C3446">
        <w:rPr>
          <w:rFonts w:ascii="Arial" w:hAnsi="Arial" w:cs="Arial"/>
        </w:rPr>
        <w:t>au FAF-TT</w:t>
      </w:r>
      <w:r w:rsidR="006C3446">
        <w:rPr>
          <w:rFonts w:ascii="Arial" w:hAnsi="Arial" w:cs="Arial"/>
        </w:rPr>
        <w:t xml:space="preserve">, OPCA de la branche. </w:t>
      </w:r>
    </w:p>
    <w:p w:rsidR="001842D0" w:rsidRDefault="00FB6ECC" w:rsidP="006A4012">
      <w:pPr>
        <w:jc w:val="both"/>
        <w:rPr>
          <w:rFonts w:ascii="Arial" w:hAnsi="Arial" w:cs="Arial"/>
        </w:rPr>
      </w:pPr>
      <w:r w:rsidRPr="004F7B05">
        <w:rPr>
          <w:rFonts w:ascii="Arial" w:hAnsi="Arial" w:cs="Arial"/>
        </w:rPr>
        <w:t>Conformément à la volonté des pa</w:t>
      </w:r>
      <w:r w:rsidR="0013235A" w:rsidRPr="004F7B05">
        <w:rPr>
          <w:rFonts w:ascii="Arial" w:hAnsi="Arial" w:cs="Arial"/>
        </w:rPr>
        <w:t xml:space="preserve">rtenaires sociaux au moment de la conclusion de l’accord de branche, </w:t>
      </w:r>
      <w:r w:rsidRPr="004F7B05">
        <w:rPr>
          <w:rFonts w:ascii="Arial" w:hAnsi="Arial" w:cs="Arial"/>
        </w:rPr>
        <w:t xml:space="preserve">les parties signataires </w:t>
      </w:r>
      <w:r w:rsidR="006C3446">
        <w:rPr>
          <w:rFonts w:ascii="Arial" w:hAnsi="Arial" w:cs="Arial"/>
        </w:rPr>
        <w:t>du présent avenant</w:t>
      </w:r>
      <w:r w:rsidRPr="004F7B05">
        <w:rPr>
          <w:rFonts w:ascii="Arial" w:hAnsi="Arial" w:cs="Arial"/>
        </w:rPr>
        <w:t xml:space="preserve"> </w:t>
      </w:r>
      <w:r w:rsidR="00D21E4F">
        <w:rPr>
          <w:rFonts w:ascii="Arial" w:hAnsi="Arial" w:cs="Arial"/>
        </w:rPr>
        <w:t>souhaitent</w:t>
      </w:r>
      <w:r w:rsidR="009C4B38" w:rsidRPr="004F7B05">
        <w:rPr>
          <w:rFonts w:ascii="Arial" w:hAnsi="Arial" w:cs="Arial"/>
        </w:rPr>
        <w:t xml:space="preserve"> </w:t>
      </w:r>
      <w:r w:rsidR="0013235A" w:rsidRPr="004F7B05">
        <w:rPr>
          <w:rFonts w:ascii="Arial" w:hAnsi="Arial" w:cs="Arial"/>
        </w:rPr>
        <w:t>préciser</w:t>
      </w:r>
      <w:r w:rsidR="009C4B38" w:rsidRPr="004F7B05">
        <w:rPr>
          <w:rFonts w:ascii="Arial" w:hAnsi="Arial" w:cs="Arial"/>
        </w:rPr>
        <w:t xml:space="preserve"> </w:t>
      </w:r>
      <w:r w:rsidR="006C3446">
        <w:rPr>
          <w:rFonts w:ascii="Arial" w:hAnsi="Arial" w:cs="Arial"/>
        </w:rPr>
        <w:t xml:space="preserve">la nature des versements </w:t>
      </w:r>
      <w:r w:rsidR="001842D0">
        <w:rPr>
          <w:rFonts w:ascii="Arial" w:hAnsi="Arial" w:cs="Arial"/>
        </w:rPr>
        <w:t xml:space="preserve">effectués par les </w:t>
      </w:r>
      <w:r w:rsidR="00914B04">
        <w:rPr>
          <w:rFonts w:ascii="Arial" w:hAnsi="Arial" w:cs="Arial"/>
        </w:rPr>
        <w:t xml:space="preserve">entreprises de la branche </w:t>
      </w:r>
      <w:r w:rsidR="001842D0">
        <w:rPr>
          <w:rFonts w:ascii="Arial" w:hAnsi="Arial" w:cs="Arial"/>
        </w:rPr>
        <w:t xml:space="preserve">au FAF-TT dans le cadre de l’investissement formation visé à l’article 54 dudit accord. </w:t>
      </w:r>
    </w:p>
    <w:p w:rsidR="00914B04" w:rsidRDefault="001842D0" w:rsidP="00914B04">
      <w:pPr>
        <w:spacing w:after="0"/>
        <w:jc w:val="both"/>
        <w:rPr>
          <w:rFonts w:ascii="Arial" w:hAnsi="Arial" w:cs="Arial"/>
        </w:rPr>
      </w:pPr>
      <w:r>
        <w:rPr>
          <w:rFonts w:ascii="Arial" w:hAnsi="Arial" w:cs="Arial"/>
        </w:rPr>
        <w:t>En conséquence, les partie</w:t>
      </w:r>
      <w:r w:rsidR="00914B04">
        <w:rPr>
          <w:rFonts w:ascii="Arial" w:hAnsi="Arial" w:cs="Arial"/>
        </w:rPr>
        <w:t>s</w:t>
      </w:r>
      <w:r>
        <w:rPr>
          <w:rFonts w:ascii="Arial" w:hAnsi="Arial" w:cs="Arial"/>
        </w:rPr>
        <w:t xml:space="preserve"> signataires conviennent des stipulations suivantes : </w:t>
      </w:r>
    </w:p>
    <w:p w:rsidR="00914B04" w:rsidRDefault="00914B04" w:rsidP="00914B04">
      <w:pPr>
        <w:spacing w:after="0"/>
        <w:jc w:val="both"/>
        <w:rPr>
          <w:rFonts w:ascii="Arial" w:hAnsi="Arial" w:cs="Arial"/>
          <w:b/>
        </w:rPr>
      </w:pPr>
    </w:p>
    <w:p w:rsidR="00914B04" w:rsidRDefault="00914B04" w:rsidP="00914B04">
      <w:pPr>
        <w:spacing w:after="0"/>
        <w:jc w:val="both"/>
        <w:rPr>
          <w:rFonts w:ascii="Arial" w:hAnsi="Arial" w:cs="Arial"/>
          <w:b/>
        </w:rPr>
      </w:pPr>
    </w:p>
    <w:p w:rsidR="00C15F9E" w:rsidRDefault="001842D0" w:rsidP="00914B04">
      <w:pPr>
        <w:spacing w:after="0"/>
        <w:jc w:val="both"/>
        <w:rPr>
          <w:rFonts w:ascii="Arial" w:hAnsi="Arial" w:cs="Arial"/>
          <w:b/>
        </w:rPr>
      </w:pPr>
      <w:r w:rsidRPr="00E0167E">
        <w:rPr>
          <w:rFonts w:ascii="Arial" w:hAnsi="Arial" w:cs="Arial"/>
          <w:b/>
        </w:rPr>
        <w:t xml:space="preserve">Article 1 – Modification de l’article 54 de l’accord </w:t>
      </w:r>
    </w:p>
    <w:p w:rsidR="00C15F9E" w:rsidRDefault="00C15F9E" w:rsidP="00C15F9E">
      <w:pPr>
        <w:spacing w:after="0"/>
        <w:jc w:val="both"/>
        <w:rPr>
          <w:rFonts w:ascii="Arial" w:hAnsi="Arial" w:cs="Arial"/>
        </w:rPr>
      </w:pPr>
    </w:p>
    <w:p w:rsidR="006C3446" w:rsidRDefault="001842D0" w:rsidP="00C15F9E">
      <w:pPr>
        <w:spacing w:after="0"/>
        <w:jc w:val="both"/>
        <w:rPr>
          <w:rFonts w:ascii="Arial" w:hAnsi="Arial" w:cs="Arial"/>
        </w:rPr>
      </w:pPr>
      <w:r>
        <w:rPr>
          <w:rFonts w:ascii="Arial" w:hAnsi="Arial" w:cs="Arial"/>
        </w:rPr>
        <w:t xml:space="preserve">Le </w:t>
      </w:r>
      <w:r w:rsidR="00E0167E">
        <w:rPr>
          <w:rFonts w:ascii="Arial" w:hAnsi="Arial" w:cs="Arial"/>
        </w:rPr>
        <w:t>2</w:t>
      </w:r>
      <w:r w:rsidRPr="001842D0">
        <w:rPr>
          <w:rFonts w:ascii="Arial" w:hAnsi="Arial" w:cs="Arial"/>
          <w:vertAlign w:val="superscript"/>
        </w:rPr>
        <w:t>ème</w:t>
      </w:r>
      <w:r>
        <w:rPr>
          <w:rFonts w:ascii="Arial" w:hAnsi="Arial" w:cs="Arial"/>
        </w:rPr>
        <w:t xml:space="preserve"> alinéa de l’article 54 de l’accord est modifié comme suit : </w:t>
      </w:r>
    </w:p>
    <w:p w:rsidR="00C15F9E" w:rsidRPr="00C15F9E" w:rsidRDefault="00C15F9E" w:rsidP="00C15F9E">
      <w:pPr>
        <w:spacing w:after="0"/>
        <w:jc w:val="both"/>
        <w:rPr>
          <w:rFonts w:ascii="Arial" w:hAnsi="Arial" w:cs="Arial"/>
          <w:b/>
        </w:rPr>
      </w:pPr>
    </w:p>
    <w:p w:rsidR="00914B04" w:rsidRDefault="001842D0" w:rsidP="00C15F9E">
      <w:pPr>
        <w:spacing w:after="0"/>
        <w:jc w:val="both"/>
        <w:rPr>
          <w:rFonts w:ascii="Arial" w:hAnsi="Arial" w:cs="Arial"/>
        </w:rPr>
      </w:pPr>
      <w:r>
        <w:rPr>
          <w:rFonts w:ascii="Arial" w:hAnsi="Arial" w:cs="Arial"/>
        </w:rPr>
        <w:t>«</w:t>
      </w:r>
      <w:r w:rsidR="00E0167E">
        <w:rPr>
          <w:rFonts w:ascii="Arial" w:hAnsi="Arial" w:cs="Arial"/>
        </w:rPr>
        <w:t xml:space="preserve"> </w:t>
      </w:r>
      <w:r>
        <w:rPr>
          <w:rFonts w:ascii="Arial" w:hAnsi="Arial" w:cs="Arial"/>
        </w:rPr>
        <w:t xml:space="preserve">Il est également créé pour les entreprises de </w:t>
      </w:r>
      <w:r w:rsidR="00E0167E">
        <w:rPr>
          <w:rFonts w:ascii="Arial" w:hAnsi="Arial" w:cs="Arial"/>
        </w:rPr>
        <w:t>la branche une obligation d’investissement formation distincte du versement des contribution</w:t>
      </w:r>
      <w:r w:rsidR="00914B04">
        <w:rPr>
          <w:rFonts w:ascii="Arial" w:hAnsi="Arial" w:cs="Arial"/>
        </w:rPr>
        <w:t>s</w:t>
      </w:r>
      <w:r w:rsidR="00E0167E">
        <w:rPr>
          <w:rFonts w:ascii="Arial" w:hAnsi="Arial" w:cs="Arial"/>
        </w:rPr>
        <w:t xml:space="preserve"> ci-dessus, fixée à 0.6% de la masse salariale. </w:t>
      </w:r>
    </w:p>
    <w:p w:rsidR="00914B04" w:rsidRDefault="00914B04" w:rsidP="00C15F9E">
      <w:pPr>
        <w:spacing w:after="0"/>
        <w:jc w:val="both"/>
        <w:rPr>
          <w:rFonts w:ascii="Arial" w:hAnsi="Arial" w:cs="Arial"/>
        </w:rPr>
      </w:pPr>
    </w:p>
    <w:p w:rsidR="00E0167E" w:rsidRDefault="00E0167E" w:rsidP="00C15F9E">
      <w:pPr>
        <w:spacing w:after="0"/>
        <w:jc w:val="both"/>
        <w:rPr>
          <w:rFonts w:ascii="Arial" w:hAnsi="Arial" w:cs="Arial"/>
        </w:rPr>
      </w:pPr>
      <w:r w:rsidRPr="00310E20">
        <w:rPr>
          <w:rFonts w:ascii="Arial" w:hAnsi="Arial" w:cs="Arial"/>
        </w:rPr>
        <w:t>Cet investissement peut soit être totalement géré en entreprise soit versé en tout ou partie à l’OPCA de branche. En cas de versements effectués par les entreprises de la branche à l’OPCA de branche, ceux-ci ont la nature de versements volontaires au sens de l’article L. 6332-1-2 alinéa 2 du code du travail.</w:t>
      </w:r>
      <w:r w:rsidR="00C15F9E" w:rsidRPr="00310E20">
        <w:rPr>
          <w:rFonts w:ascii="Arial" w:hAnsi="Arial" w:cs="Arial"/>
        </w:rPr>
        <w:t> »</w:t>
      </w:r>
    </w:p>
    <w:p w:rsidR="00C15F9E" w:rsidRDefault="00C15F9E" w:rsidP="00C15F9E">
      <w:pPr>
        <w:spacing w:after="0"/>
        <w:jc w:val="both"/>
        <w:rPr>
          <w:rFonts w:ascii="Arial" w:hAnsi="Arial" w:cs="Arial"/>
        </w:rPr>
      </w:pPr>
    </w:p>
    <w:p w:rsidR="00C15F9E" w:rsidRDefault="00C15F9E" w:rsidP="00C15F9E">
      <w:pPr>
        <w:spacing w:after="0"/>
        <w:jc w:val="both"/>
        <w:rPr>
          <w:rFonts w:ascii="Arial" w:hAnsi="Arial" w:cs="Arial"/>
        </w:rPr>
      </w:pPr>
    </w:p>
    <w:p w:rsidR="00E0167E" w:rsidRDefault="00E0167E" w:rsidP="00C15F9E">
      <w:pPr>
        <w:spacing w:after="0"/>
        <w:jc w:val="both"/>
        <w:rPr>
          <w:rFonts w:ascii="Arial" w:hAnsi="Arial" w:cs="Arial"/>
          <w:b/>
        </w:rPr>
      </w:pPr>
      <w:r w:rsidRPr="00E0167E">
        <w:rPr>
          <w:rFonts w:ascii="Arial" w:hAnsi="Arial" w:cs="Arial"/>
          <w:b/>
        </w:rPr>
        <w:t xml:space="preserve">Article 2 </w:t>
      </w:r>
      <w:r>
        <w:rPr>
          <w:rFonts w:ascii="Arial" w:hAnsi="Arial" w:cs="Arial"/>
          <w:b/>
        </w:rPr>
        <w:t>–</w:t>
      </w:r>
      <w:r w:rsidRPr="00E0167E">
        <w:rPr>
          <w:rFonts w:ascii="Arial" w:hAnsi="Arial" w:cs="Arial"/>
          <w:b/>
        </w:rPr>
        <w:t xml:space="preserve"> </w:t>
      </w:r>
      <w:r>
        <w:rPr>
          <w:rFonts w:ascii="Arial" w:hAnsi="Arial" w:cs="Arial"/>
          <w:b/>
        </w:rPr>
        <w:t>Entrée en vigueur et durée</w:t>
      </w:r>
    </w:p>
    <w:p w:rsidR="00C15F9E" w:rsidRDefault="00C15F9E" w:rsidP="00C15F9E">
      <w:pPr>
        <w:spacing w:after="0"/>
        <w:jc w:val="both"/>
        <w:rPr>
          <w:rFonts w:ascii="Arial" w:hAnsi="Arial" w:cs="Arial"/>
          <w:b/>
        </w:rPr>
      </w:pPr>
    </w:p>
    <w:p w:rsidR="00914B04" w:rsidRDefault="00161E76" w:rsidP="00914B04">
      <w:pPr>
        <w:spacing w:after="0"/>
        <w:jc w:val="both"/>
        <w:rPr>
          <w:rFonts w:ascii="Arial" w:hAnsi="Arial" w:cs="Arial"/>
        </w:rPr>
      </w:pPr>
      <w:r>
        <w:rPr>
          <w:rFonts w:ascii="Arial" w:hAnsi="Arial" w:cs="Arial"/>
        </w:rPr>
        <w:t xml:space="preserve">Le présent avenant porte révision de l’accord du 26 septembre 2014 relatif au développement de la formation tout au long de la vie professionnelle au sein de la branche du travail temporaire, il se substitue de plein droit aux stipulations de cet accord conformément à l’article L. 2261-8 du code du travail. </w:t>
      </w:r>
    </w:p>
    <w:p w:rsidR="00914B04" w:rsidRDefault="00914B04" w:rsidP="00914B04">
      <w:pPr>
        <w:spacing w:after="0"/>
        <w:jc w:val="both"/>
        <w:rPr>
          <w:rFonts w:ascii="Arial" w:hAnsi="Arial" w:cs="Arial"/>
        </w:rPr>
      </w:pPr>
    </w:p>
    <w:p w:rsidR="00C15F9E" w:rsidRDefault="00161E76" w:rsidP="00914B04">
      <w:pPr>
        <w:spacing w:after="0"/>
        <w:jc w:val="both"/>
        <w:rPr>
          <w:rFonts w:ascii="Arial" w:hAnsi="Arial" w:cs="Arial"/>
        </w:rPr>
      </w:pPr>
      <w:r>
        <w:rPr>
          <w:rFonts w:ascii="Arial" w:hAnsi="Arial" w:cs="Arial"/>
        </w:rPr>
        <w:t>Il est conclu pour une durée indéterminée et entre en vigueur le lendemain de sa signature.</w:t>
      </w:r>
    </w:p>
    <w:p w:rsidR="00C15F9E" w:rsidRPr="00C15F9E" w:rsidRDefault="00C15F9E" w:rsidP="00C15F9E">
      <w:pPr>
        <w:spacing w:after="0"/>
        <w:jc w:val="both"/>
        <w:rPr>
          <w:rFonts w:ascii="Arial" w:hAnsi="Arial" w:cs="Arial"/>
        </w:rPr>
      </w:pPr>
    </w:p>
    <w:p w:rsidR="00F43935" w:rsidRDefault="00F43935">
      <w:pPr>
        <w:rPr>
          <w:rFonts w:ascii="Arial" w:hAnsi="Arial" w:cs="Arial"/>
        </w:rPr>
      </w:pPr>
      <w:r>
        <w:rPr>
          <w:rFonts w:ascii="Arial" w:hAnsi="Arial" w:cs="Arial"/>
        </w:rPr>
        <w:br w:type="page"/>
      </w:r>
    </w:p>
    <w:p w:rsidR="00161E76" w:rsidRDefault="00161E76" w:rsidP="00C15F9E">
      <w:pPr>
        <w:spacing w:after="0"/>
        <w:jc w:val="both"/>
        <w:rPr>
          <w:rFonts w:ascii="Arial" w:hAnsi="Arial" w:cs="Arial"/>
          <w:b/>
        </w:rPr>
      </w:pPr>
      <w:r w:rsidRPr="00161E76">
        <w:rPr>
          <w:rFonts w:ascii="Arial" w:hAnsi="Arial" w:cs="Arial"/>
          <w:b/>
        </w:rPr>
        <w:lastRenderedPageBreak/>
        <w:t xml:space="preserve">Article 3 – Suivi de l’accord </w:t>
      </w:r>
    </w:p>
    <w:p w:rsidR="00C15F9E" w:rsidRPr="00C15F9E" w:rsidRDefault="00C15F9E" w:rsidP="00C15F9E">
      <w:pPr>
        <w:spacing w:after="0"/>
        <w:jc w:val="both"/>
        <w:rPr>
          <w:rFonts w:ascii="Arial" w:hAnsi="Arial" w:cs="Arial"/>
        </w:rPr>
      </w:pPr>
    </w:p>
    <w:p w:rsidR="00E0167E" w:rsidRDefault="00AC6721" w:rsidP="006A4012">
      <w:pPr>
        <w:jc w:val="both"/>
        <w:rPr>
          <w:rFonts w:ascii="Arial" w:hAnsi="Arial" w:cs="Arial"/>
        </w:rPr>
      </w:pPr>
      <w:r>
        <w:rPr>
          <w:rFonts w:ascii="Arial" w:hAnsi="Arial" w:cs="Arial"/>
        </w:rPr>
        <w:t>Les parties si</w:t>
      </w:r>
      <w:r w:rsidR="00C15F9E">
        <w:rPr>
          <w:rFonts w:ascii="Arial" w:hAnsi="Arial" w:cs="Arial"/>
        </w:rPr>
        <w:t xml:space="preserve">gnataires confient à la CPNE le soin de suivre l’application du présent avenant. </w:t>
      </w:r>
    </w:p>
    <w:p w:rsidR="00F43935" w:rsidRPr="00F43935" w:rsidRDefault="00C15F9E" w:rsidP="00C15F9E">
      <w:pPr>
        <w:spacing w:after="0"/>
        <w:jc w:val="both"/>
        <w:rPr>
          <w:rFonts w:ascii="Arial" w:hAnsi="Arial" w:cs="Arial"/>
        </w:rPr>
      </w:pPr>
      <w:r w:rsidRPr="00F43935">
        <w:rPr>
          <w:rFonts w:ascii="Arial" w:hAnsi="Arial" w:cs="Arial"/>
        </w:rPr>
        <w:t>Conformément aux dispositions de l’article L. 2253-1 du code du travail, le</w:t>
      </w:r>
      <w:r w:rsidR="00F43935" w:rsidRPr="00F43935">
        <w:rPr>
          <w:rFonts w:ascii="Arial" w:hAnsi="Arial" w:cs="Arial"/>
        </w:rPr>
        <w:t>s stipulations du</w:t>
      </w:r>
      <w:r w:rsidRPr="00F43935">
        <w:rPr>
          <w:rFonts w:ascii="Arial" w:hAnsi="Arial" w:cs="Arial"/>
        </w:rPr>
        <w:t xml:space="preserve"> présent avenant </w:t>
      </w:r>
      <w:r w:rsidR="00F43935" w:rsidRPr="00F43935">
        <w:rPr>
          <w:rFonts w:ascii="Arial" w:hAnsi="Arial" w:cs="Arial"/>
        </w:rPr>
        <w:t>prévalent sur l</w:t>
      </w:r>
      <w:r w:rsidR="00F43935">
        <w:rPr>
          <w:rFonts w:ascii="Arial" w:hAnsi="Arial" w:cs="Arial"/>
        </w:rPr>
        <w:t xml:space="preserve">es accords d’entreprise </w:t>
      </w:r>
      <w:r w:rsidR="00F43935" w:rsidRPr="00F43935">
        <w:rPr>
          <w:rFonts w:ascii="Arial" w:hAnsi="Arial" w:cs="Arial"/>
        </w:rPr>
        <w:t>conclu</w:t>
      </w:r>
      <w:r w:rsidR="00F43935">
        <w:rPr>
          <w:rFonts w:ascii="Arial" w:hAnsi="Arial" w:cs="Arial"/>
        </w:rPr>
        <w:t>s</w:t>
      </w:r>
      <w:r w:rsidR="00F43935" w:rsidRPr="00F43935">
        <w:rPr>
          <w:rFonts w:ascii="Arial" w:hAnsi="Arial" w:cs="Arial"/>
        </w:rPr>
        <w:t xml:space="preserve"> antérieurement ou</w:t>
      </w:r>
      <w:r w:rsidR="00F43935">
        <w:t xml:space="preserve"> </w:t>
      </w:r>
      <w:r w:rsidR="00F43935" w:rsidRPr="00F43935">
        <w:rPr>
          <w:rFonts w:ascii="Arial" w:hAnsi="Arial" w:cs="Arial"/>
        </w:rPr>
        <w:t xml:space="preserve">postérieurement à la date d'entrée en vigueur </w:t>
      </w:r>
      <w:r w:rsidR="00F43935">
        <w:rPr>
          <w:rFonts w:ascii="Arial" w:hAnsi="Arial" w:cs="Arial"/>
        </w:rPr>
        <w:t>du présent avenant</w:t>
      </w:r>
      <w:r w:rsidR="00F43935" w:rsidRPr="00F43935">
        <w:rPr>
          <w:rFonts w:ascii="Arial" w:hAnsi="Arial" w:cs="Arial"/>
        </w:rPr>
        <w:t>, sauf lorsqu’ils assurent des garanties au moins équivalentes</w:t>
      </w:r>
      <w:r w:rsidR="00F43935">
        <w:rPr>
          <w:rFonts w:ascii="Arial" w:hAnsi="Arial" w:cs="Arial"/>
        </w:rPr>
        <w:t>.</w:t>
      </w:r>
    </w:p>
    <w:p w:rsidR="00C15F9E" w:rsidRDefault="00C15F9E" w:rsidP="00C15F9E">
      <w:pPr>
        <w:spacing w:after="0"/>
        <w:jc w:val="both"/>
        <w:rPr>
          <w:rFonts w:ascii="Arial" w:hAnsi="Arial" w:cs="Arial"/>
        </w:rPr>
      </w:pPr>
    </w:p>
    <w:p w:rsidR="00F43935" w:rsidRDefault="00F43935" w:rsidP="00C15F9E">
      <w:pPr>
        <w:spacing w:after="0"/>
        <w:jc w:val="both"/>
        <w:rPr>
          <w:rFonts w:ascii="Arial" w:hAnsi="Arial" w:cs="Arial"/>
        </w:rPr>
      </w:pPr>
    </w:p>
    <w:p w:rsidR="00C15F9E" w:rsidRPr="00C15F9E" w:rsidRDefault="00C15F9E" w:rsidP="00C15F9E">
      <w:pPr>
        <w:spacing w:after="0"/>
        <w:jc w:val="both"/>
        <w:rPr>
          <w:rFonts w:ascii="Arial" w:hAnsi="Arial" w:cs="Arial"/>
          <w:b/>
        </w:rPr>
      </w:pPr>
      <w:r w:rsidRPr="00C15F9E">
        <w:rPr>
          <w:rFonts w:ascii="Arial" w:hAnsi="Arial" w:cs="Arial"/>
          <w:b/>
        </w:rPr>
        <w:t xml:space="preserve">Article 4 – Dénonciation </w:t>
      </w:r>
    </w:p>
    <w:p w:rsidR="00C15F9E" w:rsidRDefault="00C15F9E" w:rsidP="00C15F9E">
      <w:pPr>
        <w:spacing w:after="0"/>
        <w:jc w:val="both"/>
        <w:rPr>
          <w:rFonts w:ascii="Arial" w:hAnsi="Arial" w:cs="Arial"/>
        </w:rPr>
      </w:pPr>
    </w:p>
    <w:p w:rsidR="00C15F9E" w:rsidRDefault="00C15F9E" w:rsidP="00C15F9E">
      <w:pPr>
        <w:spacing w:after="0"/>
        <w:jc w:val="both"/>
        <w:rPr>
          <w:rFonts w:ascii="Arial" w:hAnsi="Arial" w:cs="Arial"/>
        </w:rPr>
      </w:pPr>
      <w:r>
        <w:rPr>
          <w:rFonts w:ascii="Arial" w:hAnsi="Arial" w:cs="Arial"/>
        </w:rPr>
        <w:t xml:space="preserve">Le présent avenant pourra faire l’objet d’une dénonciation conformément aux dispositions légales et réglementaires en vigueur. </w:t>
      </w:r>
    </w:p>
    <w:p w:rsidR="00C15F9E" w:rsidRDefault="00C15F9E" w:rsidP="00C15F9E">
      <w:pPr>
        <w:spacing w:after="0"/>
        <w:jc w:val="both"/>
        <w:rPr>
          <w:rFonts w:ascii="Arial" w:hAnsi="Arial" w:cs="Arial"/>
        </w:rPr>
      </w:pPr>
    </w:p>
    <w:p w:rsidR="00C15F9E" w:rsidRDefault="00C15F9E" w:rsidP="00C15F9E">
      <w:pPr>
        <w:spacing w:after="0"/>
        <w:jc w:val="both"/>
        <w:rPr>
          <w:rFonts w:ascii="Arial" w:hAnsi="Arial" w:cs="Arial"/>
        </w:rPr>
      </w:pPr>
    </w:p>
    <w:p w:rsidR="00C15F9E" w:rsidRPr="00C15F9E" w:rsidRDefault="00C15F9E" w:rsidP="00C15F9E">
      <w:pPr>
        <w:spacing w:after="0"/>
        <w:jc w:val="both"/>
        <w:rPr>
          <w:rFonts w:ascii="Arial" w:hAnsi="Arial" w:cs="Arial"/>
          <w:b/>
        </w:rPr>
      </w:pPr>
      <w:r w:rsidRPr="00C15F9E">
        <w:rPr>
          <w:rFonts w:ascii="Arial" w:hAnsi="Arial" w:cs="Arial"/>
          <w:b/>
        </w:rPr>
        <w:t xml:space="preserve">Article 5 – Dépôt et extension </w:t>
      </w:r>
    </w:p>
    <w:p w:rsidR="00C15F9E" w:rsidRDefault="00C15F9E" w:rsidP="00C15F9E">
      <w:pPr>
        <w:spacing w:after="0"/>
        <w:jc w:val="both"/>
        <w:rPr>
          <w:rFonts w:ascii="Arial" w:hAnsi="Arial" w:cs="Arial"/>
        </w:rPr>
      </w:pPr>
    </w:p>
    <w:p w:rsidR="00C15F9E" w:rsidRDefault="00C15F9E" w:rsidP="00C15F9E">
      <w:pPr>
        <w:spacing w:after="0"/>
        <w:jc w:val="both"/>
        <w:rPr>
          <w:rFonts w:ascii="Arial" w:hAnsi="Arial" w:cs="Arial"/>
        </w:rPr>
      </w:pPr>
      <w:r>
        <w:rPr>
          <w:rFonts w:ascii="Arial" w:hAnsi="Arial" w:cs="Arial"/>
        </w:rPr>
        <w:t xml:space="preserve">Le présent accord fera l’objet des formalités de dépôt et d’extension conformément aux dispositions légales et réglementaires en vigueur.  </w:t>
      </w:r>
    </w:p>
    <w:p w:rsidR="00C15F9E" w:rsidRDefault="00C15F9E" w:rsidP="00C15F9E">
      <w:pPr>
        <w:spacing w:after="0"/>
        <w:jc w:val="both"/>
        <w:rPr>
          <w:rFonts w:ascii="Arial" w:hAnsi="Arial" w:cs="Arial"/>
        </w:rPr>
      </w:pPr>
    </w:p>
    <w:p w:rsidR="00B3277C" w:rsidRDefault="00B3277C" w:rsidP="00F43935">
      <w:pPr>
        <w:spacing w:after="0"/>
        <w:jc w:val="both"/>
        <w:rPr>
          <w:rFonts w:ascii="Arial" w:hAnsi="Arial" w:cs="Arial"/>
        </w:rPr>
      </w:pPr>
    </w:p>
    <w:p w:rsidR="004F7B05" w:rsidRPr="004F7B05" w:rsidRDefault="00B3277C" w:rsidP="006A4012">
      <w:pPr>
        <w:jc w:val="both"/>
        <w:rPr>
          <w:rFonts w:ascii="Arial" w:hAnsi="Arial" w:cs="Arial"/>
        </w:rPr>
      </w:pPr>
      <w:r>
        <w:rPr>
          <w:rFonts w:ascii="Arial" w:hAnsi="Arial" w:cs="Arial"/>
        </w:rPr>
        <w:t xml:space="preserve">Fait à Paris, le </w:t>
      </w:r>
      <w:r w:rsidR="00F43935">
        <w:rPr>
          <w:rFonts w:ascii="Arial" w:hAnsi="Arial" w:cs="Arial"/>
        </w:rPr>
        <w:t>16 fév</w:t>
      </w:r>
      <w:r w:rsidR="008F3F81">
        <w:rPr>
          <w:rFonts w:ascii="Arial" w:hAnsi="Arial" w:cs="Arial"/>
        </w:rPr>
        <w:t>r</w:t>
      </w:r>
      <w:r w:rsidR="00F43935">
        <w:rPr>
          <w:rFonts w:ascii="Arial" w:hAnsi="Arial" w:cs="Arial"/>
        </w:rPr>
        <w:t>ier</w:t>
      </w:r>
      <w:r w:rsidR="00C15F9E">
        <w:rPr>
          <w:rFonts w:ascii="Arial" w:hAnsi="Arial" w:cs="Arial"/>
        </w:rPr>
        <w:t xml:space="preserve"> 2018</w:t>
      </w:r>
    </w:p>
    <w:p w:rsidR="000F367D" w:rsidRDefault="000F367D" w:rsidP="006A4012">
      <w:pPr>
        <w:jc w:val="both"/>
        <w:rPr>
          <w:rFonts w:ascii="Arial" w:hAnsi="Arial" w:cs="Arial"/>
        </w:rPr>
      </w:pPr>
    </w:p>
    <w:p w:rsidR="004F7B05" w:rsidRPr="004F7B05" w:rsidRDefault="004F7B05" w:rsidP="006A4012">
      <w:pPr>
        <w:jc w:val="both"/>
        <w:rPr>
          <w:rFonts w:ascii="Arial" w:hAnsi="Arial" w:cs="Arial"/>
        </w:rPr>
      </w:pPr>
      <w:r w:rsidRPr="004F7B05">
        <w:rPr>
          <w:rFonts w:ascii="Arial" w:hAnsi="Arial" w:cs="Arial"/>
        </w:rPr>
        <w:t>Signataires</w:t>
      </w:r>
    </w:p>
    <w:p w:rsidR="004F7B05" w:rsidRPr="004F7B05" w:rsidRDefault="004F7B05" w:rsidP="006A4012">
      <w:pPr>
        <w:jc w:val="both"/>
        <w:rPr>
          <w:rFonts w:ascii="Arial" w:hAnsi="Arial" w:cs="Arial"/>
          <w:sz w:val="24"/>
          <w:szCs w:val="24"/>
        </w:rPr>
      </w:pPr>
    </w:p>
    <w:p w:rsidR="004F7B05" w:rsidRPr="00D21E4F" w:rsidRDefault="004F7B05" w:rsidP="006A4012">
      <w:pPr>
        <w:tabs>
          <w:tab w:val="center" w:pos="1418"/>
          <w:tab w:val="center" w:pos="4962"/>
          <w:tab w:val="center" w:pos="8505"/>
        </w:tabs>
        <w:jc w:val="both"/>
        <w:rPr>
          <w:rFonts w:ascii="Arial" w:hAnsi="Arial" w:cs="Arial"/>
        </w:rPr>
      </w:pPr>
      <w:r w:rsidRPr="004F7B05">
        <w:rPr>
          <w:rFonts w:ascii="Arial" w:hAnsi="Arial" w:cs="Arial"/>
          <w:sz w:val="24"/>
          <w:szCs w:val="24"/>
        </w:rPr>
        <w:tab/>
      </w:r>
      <w:r w:rsidRPr="00D21E4F">
        <w:rPr>
          <w:rFonts w:ascii="Arial" w:hAnsi="Arial" w:cs="Arial"/>
        </w:rPr>
        <w:t>CFDT</w:t>
      </w:r>
      <w:r w:rsidRPr="00D21E4F">
        <w:rPr>
          <w:rFonts w:ascii="Arial" w:hAnsi="Arial" w:cs="Arial"/>
        </w:rPr>
        <w:tab/>
        <w:t>CFTC</w:t>
      </w:r>
      <w:r w:rsidRPr="00D21E4F">
        <w:rPr>
          <w:rFonts w:ascii="Arial" w:hAnsi="Arial" w:cs="Arial"/>
        </w:rPr>
        <w:tab/>
        <w:t>CFE-CGC</w:t>
      </w:r>
    </w:p>
    <w:p w:rsidR="004F7B05" w:rsidRPr="00D21E4F" w:rsidRDefault="004F7B05" w:rsidP="006A4012">
      <w:pPr>
        <w:tabs>
          <w:tab w:val="center" w:pos="1418"/>
          <w:tab w:val="center" w:pos="4962"/>
          <w:tab w:val="center" w:pos="8505"/>
        </w:tabs>
        <w:jc w:val="both"/>
        <w:rPr>
          <w:rFonts w:ascii="Arial" w:hAnsi="Arial" w:cs="Arial"/>
        </w:rPr>
      </w:pPr>
      <w:r w:rsidRPr="00D21E4F">
        <w:rPr>
          <w:rFonts w:ascii="Arial" w:hAnsi="Arial" w:cs="Arial"/>
        </w:rPr>
        <w:tab/>
        <w:t>Fédération des services</w:t>
      </w:r>
      <w:r w:rsidRPr="00D21E4F">
        <w:rPr>
          <w:rFonts w:ascii="Arial" w:hAnsi="Arial" w:cs="Arial"/>
        </w:rPr>
        <w:tab/>
        <w:t>CSFV</w:t>
      </w:r>
      <w:r w:rsidRPr="00D21E4F">
        <w:rPr>
          <w:rFonts w:ascii="Arial" w:hAnsi="Arial" w:cs="Arial"/>
        </w:rPr>
        <w:tab/>
        <w:t>FNECS</w:t>
      </w:r>
    </w:p>
    <w:p w:rsidR="004F7B05" w:rsidRPr="00D21E4F" w:rsidRDefault="004F7B05" w:rsidP="004F7B05">
      <w:pPr>
        <w:tabs>
          <w:tab w:val="left" w:pos="3402"/>
          <w:tab w:val="left" w:pos="6237"/>
        </w:tabs>
        <w:rPr>
          <w:rFonts w:ascii="Arial" w:hAnsi="Arial" w:cs="Arial"/>
        </w:rPr>
      </w:pPr>
    </w:p>
    <w:p w:rsidR="004F7B05" w:rsidRDefault="004F7B05" w:rsidP="004F7B05">
      <w:pPr>
        <w:tabs>
          <w:tab w:val="left" w:pos="3402"/>
          <w:tab w:val="left" w:pos="6237"/>
        </w:tabs>
        <w:rPr>
          <w:rFonts w:ascii="Arial" w:hAnsi="Arial" w:cs="Arial"/>
        </w:rPr>
      </w:pPr>
    </w:p>
    <w:p w:rsidR="004F7B05" w:rsidRPr="00D21E4F" w:rsidRDefault="004F7B05" w:rsidP="004F7B05">
      <w:pPr>
        <w:tabs>
          <w:tab w:val="left" w:pos="3402"/>
          <w:tab w:val="left" w:pos="6237"/>
        </w:tabs>
        <w:rPr>
          <w:rFonts w:ascii="Arial" w:hAnsi="Arial" w:cs="Arial"/>
        </w:rPr>
      </w:pPr>
    </w:p>
    <w:p w:rsidR="00630673" w:rsidRDefault="004F7B05" w:rsidP="00D21E4F">
      <w:pPr>
        <w:tabs>
          <w:tab w:val="center" w:pos="1418"/>
          <w:tab w:val="center" w:pos="4962"/>
          <w:tab w:val="center" w:pos="8505"/>
        </w:tabs>
        <w:rPr>
          <w:rFonts w:ascii="Arial" w:hAnsi="Arial" w:cs="Arial"/>
        </w:rPr>
      </w:pPr>
      <w:r w:rsidRPr="00D21E4F">
        <w:rPr>
          <w:rFonts w:ascii="Arial" w:hAnsi="Arial" w:cs="Arial"/>
        </w:rPr>
        <w:tab/>
      </w:r>
      <w:r w:rsidR="00D21E4F">
        <w:rPr>
          <w:rFonts w:ascii="Arial" w:hAnsi="Arial" w:cs="Arial"/>
        </w:rPr>
        <w:t>CGT</w:t>
      </w:r>
      <w:r w:rsidR="00C15F9E">
        <w:rPr>
          <w:rFonts w:ascii="Arial" w:hAnsi="Arial" w:cs="Arial"/>
        </w:rPr>
        <w:t xml:space="preserve">-Intérim </w:t>
      </w:r>
      <w:r w:rsidR="00D21E4F">
        <w:rPr>
          <w:rFonts w:ascii="Arial" w:hAnsi="Arial" w:cs="Arial"/>
        </w:rPr>
        <w:tab/>
      </w:r>
      <w:r w:rsidR="00C15F9E">
        <w:rPr>
          <w:rFonts w:ascii="Arial" w:hAnsi="Arial" w:cs="Arial"/>
        </w:rPr>
        <w:t xml:space="preserve">Force </w:t>
      </w:r>
      <w:r w:rsidR="00D21E4F">
        <w:rPr>
          <w:rFonts w:ascii="Arial" w:hAnsi="Arial" w:cs="Arial"/>
        </w:rPr>
        <w:t>O</w:t>
      </w:r>
      <w:r w:rsidR="00C15F9E">
        <w:rPr>
          <w:rFonts w:ascii="Arial" w:hAnsi="Arial" w:cs="Arial"/>
        </w:rPr>
        <w:t>uvrière</w:t>
      </w:r>
      <w:r w:rsidR="00D21E4F">
        <w:rPr>
          <w:rFonts w:ascii="Arial" w:hAnsi="Arial" w:cs="Arial"/>
        </w:rPr>
        <w:tab/>
      </w:r>
      <w:r w:rsidR="00630673">
        <w:rPr>
          <w:rFonts w:ascii="Arial" w:hAnsi="Arial" w:cs="Arial"/>
        </w:rPr>
        <w:t>UNSA</w:t>
      </w:r>
    </w:p>
    <w:p w:rsidR="00630673" w:rsidRDefault="00630673" w:rsidP="00D21E4F">
      <w:pPr>
        <w:tabs>
          <w:tab w:val="center" w:pos="1418"/>
          <w:tab w:val="center" w:pos="4962"/>
          <w:tab w:val="center" w:pos="8505"/>
        </w:tabs>
        <w:rPr>
          <w:rFonts w:ascii="Arial" w:hAnsi="Arial" w:cs="Arial"/>
        </w:rPr>
      </w:pPr>
    </w:p>
    <w:p w:rsidR="00630673" w:rsidRDefault="00630673" w:rsidP="00D21E4F">
      <w:pPr>
        <w:tabs>
          <w:tab w:val="center" w:pos="1418"/>
          <w:tab w:val="center" w:pos="4962"/>
          <w:tab w:val="center" w:pos="8505"/>
        </w:tabs>
        <w:rPr>
          <w:rFonts w:ascii="Arial" w:hAnsi="Arial" w:cs="Arial"/>
        </w:rPr>
      </w:pPr>
    </w:p>
    <w:p w:rsidR="00630673" w:rsidRDefault="00630673" w:rsidP="00D21E4F">
      <w:pPr>
        <w:tabs>
          <w:tab w:val="center" w:pos="1418"/>
          <w:tab w:val="center" w:pos="4962"/>
          <w:tab w:val="center" w:pos="8505"/>
        </w:tabs>
        <w:rPr>
          <w:rFonts w:ascii="Arial" w:hAnsi="Arial" w:cs="Arial"/>
        </w:rPr>
      </w:pPr>
    </w:p>
    <w:p w:rsidR="00D21E4F" w:rsidRDefault="00D21E4F" w:rsidP="00D21E4F">
      <w:pPr>
        <w:tabs>
          <w:tab w:val="center" w:pos="1418"/>
          <w:tab w:val="center" w:pos="4962"/>
          <w:tab w:val="center" w:pos="8505"/>
        </w:tabs>
        <w:rPr>
          <w:rFonts w:ascii="Arial" w:hAnsi="Arial" w:cs="Arial"/>
        </w:rPr>
      </w:pPr>
      <w:r>
        <w:rPr>
          <w:rFonts w:ascii="Arial" w:hAnsi="Arial" w:cs="Arial"/>
        </w:rPr>
        <w:t>PRISM’EMPLOI</w:t>
      </w:r>
    </w:p>
    <w:p w:rsidR="00D21E4F" w:rsidRDefault="00D21E4F" w:rsidP="00722FC3">
      <w:pPr>
        <w:tabs>
          <w:tab w:val="center" w:pos="1418"/>
          <w:tab w:val="center" w:pos="4962"/>
          <w:tab w:val="center" w:pos="8505"/>
        </w:tabs>
        <w:rPr>
          <w:rFonts w:ascii="Arial" w:hAnsi="Arial" w:cs="Arial"/>
        </w:rPr>
      </w:pPr>
    </w:p>
    <w:sectPr w:rsidR="00D21E4F" w:rsidSect="00F91714">
      <w:footerReference w:type="default" r:id="rId7"/>
      <w:pgSz w:w="11906" w:h="16838"/>
      <w:pgMar w:top="127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F9E" w:rsidRDefault="00C15F9E" w:rsidP="00FA27E7">
      <w:pPr>
        <w:spacing w:after="0" w:line="240" w:lineRule="auto"/>
      </w:pPr>
      <w:r>
        <w:separator/>
      </w:r>
    </w:p>
  </w:endnote>
  <w:endnote w:type="continuationSeparator" w:id="0">
    <w:p w:rsidR="00C15F9E" w:rsidRDefault="00C15F9E" w:rsidP="00FA2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408115724"/>
      <w:docPartObj>
        <w:docPartGallery w:val="Page Numbers (Bottom of Page)"/>
        <w:docPartUnique/>
      </w:docPartObj>
    </w:sdtPr>
    <w:sdtEndPr/>
    <w:sdtContent>
      <w:p w:rsidR="00C15F9E" w:rsidRPr="00770A50" w:rsidRDefault="00C15F9E">
        <w:pPr>
          <w:pStyle w:val="Pieddepage"/>
          <w:jc w:val="right"/>
          <w:rPr>
            <w:sz w:val="20"/>
            <w:szCs w:val="20"/>
          </w:rPr>
        </w:pPr>
        <w:r w:rsidRPr="00770A50">
          <w:rPr>
            <w:rFonts w:ascii="Arial" w:hAnsi="Arial" w:cs="Arial"/>
            <w:sz w:val="20"/>
            <w:szCs w:val="20"/>
          </w:rPr>
          <w:fldChar w:fldCharType="begin"/>
        </w:r>
        <w:r w:rsidRPr="00770A50">
          <w:rPr>
            <w:rFonts w:ascii="Arial" w:hAnsi="Arial" w:cs="Arial"/>
            <w:sz w:val="20"/>
            <w:szCs w:val="20"/>
          </w:rPr>
          <w:instrText xml:space="preserve"> PAGE   \* MERGEFORMAT </w:instrText>
        </w:r>
        <w:r w:rsidRPr="00770A50">
          <w:rPr>
            <w:rFonts w:ascii="Arial" w:hAnsi="Arial" w:cs="Arial"/>
            <w:sz w:val="20"/>
            <w:szCs w:val="20"/>
          </w:rPr>
          <w:fldChar w:fldCharType="separate"/>
        </w:r>
        <w:r w:rsidR="007846A3">
          <w:rPr>
            <w:rFonts w:ascii="Arial" w:hAnsi="Arial" w:cs="Arial"/>
            <w:noProof/>
            <w:sz w:val="20"/>
            <w:szCs w:val="20"/>
          </w:rPr>
          <w:t>2</w:t>
        </w:r>
        <w:r w:rsidRPr="00770A5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F9E" w:rsidRDefault="00C15F9E" w:rsidP="00FA27E7">
      <w:pPr>
        <w:spacing w:after="0" w:line="240" w:lineRule="auto"/>
      </w:pPr>
      <w:r>
        <w:separator/>
      </w:r>
    </w:p>
  </w:footnote>
  <w:footnote w:type="continuationSeparator" w:id="0">
    <w:p w:rsidR="00C15F9E" w:rsidRDefault="00C15F9E" w:rsidP="00FA2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E85862"/>
    <w:multiLevelType w:val="hybridMultilevel"/>
    <w:tmpl w:val="C346F7A6"/>
    <w:lvl w:ilvl="0" w:tplc="074AE25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D0"/>
    <w:rsid w:val="00052A17"/>
    <w:rsid w:val="000F367D"/>
    <w:rsid w:val="001047C5"/>
    <w:rsid w:val="0013235A"/>
    <w:rsid w:val="00161C17"/>
    <w:rsid w:val="00161E76"/>
    <w:rsid w:val="001811F3"/>
    <w:rsid w:val="001842D0"/>
    <w:rsid w:val="001F0A5C"/>
    <w:rsid w:val="00280814"/>
    <w:rsid w:val="002A2EED"/>
    <w:rsid w:val="002D6099"/>
    <w:rsid w:val="002F4554"/>
    <w:rsid w:val="00310E20"/>
    <w:rsid w:val="003203E0"/>
    <w:rsid w:val="003615EC"/>
    <w:rsid w:val="0037350B"/>
    <w:rsid w:val="003A40A2"/>
    <w:rsid w:val="00401230"/>
    <w:rsid w:val="0041387E"/>
    <w:rsid w:val="004220CC"/>
    <w:rsid w:val="004632A3"/>
    <w:rsid w:val="0048292D"/>
    <w:rsid w:val="004D5198"/>
    <w:rsid w:val="004F7B05"/>
    <w:rsid w:val="00530C91"/>
    <w:rsid w:val="005439D0"/>
    <w:rsid w:val="0055345B"/>
    <w:rsid w:val="005921FC"/>
    <w:rsid w:val="00600F3B"/>
    <w:rsid w:val="00607ABF"/>
    <w:rsid w:val="00607D41"/>
    <w:rsid w:val="006127CF"/>
    <w:rsid w:val="00612A5D"/>
    <w:rsid w:val="00630673"/>
    <w:rsid w:val="00680507"/>
    <w:rsid w:val="00685993"/>
    <w:rsid w:val="00685C8C"/>
    <w:rsid w:val="00690514"/>
    <w:rsid w:val="006A4012"/>
    <w:rsid w:val="006C06B8"/>
    <w:rsid w:val="006C3446"/>
    <w:rsid w:val="006D24FF"/>
    <w:rsid w:val="00722FC3"/>
    <w:rsid w:val="00775C05"/>
    <w:rsid w:val="007846A3"/>
    <w:rsid w:val="00792FF4"/>
    <w:rsid w:val="007E01CB"/>
    <w:rsid w:val="00811451"/>
    <w:rsid w:val="00842C0E"/>
    <w:rsid w:val="008657FC"/>
    <w:rsid w:val="008C3B48"/>
    <w:rsid w:val="008F3F81"/>
    <w:rsid w:val="00914062"/>
    <w:rsid w:val="00914B04"/>
    <w:rsid w:val="00926510"/>
    <w:rsid w:val="00986B8A"/>
    <w:rsid w:val="009C4B38"/>
    <w:rsid w:val="009F1ADD"/>
    <w:rsid w:val="00A70004"/>
    <w:rsid w:val="00A96963"/>
    <w:rsid w:val="00AC6721"/>
    <w:rsid w:val="00B23449"/>
    <w:rsid w:val="00B3277C"/>
    <w:rsid w:val="00B60B95"/>
    <w:rsid w:val="00B94F75"/>
    <w:rsid w:val="00C15F9E"/>
    <w:rsid w:val="00D21E4F"/>
    <w:rsid w:val="00E0167E"/>
    <w:rsid w:val="00E340A9"/>
    <w:rsid w:val="00E719C7"/>
    <w:rsid w:val="00EA5826"/>
    <w:rsid w:val="00F43935"/>
    <w:rsid w:val="00F52856"/>
    <w:rsid w:val="00F72527"/>
    <w:rsid w:val="00F73BB2"/>
    <w:rsid w:val="00F91714"/>
    <w:rsid w:val="00FA27E7"/>
    <w:rsid w:val="00FB6ECC"/>
    <w:rsid w:val="00FF26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96D0C"/>
  <w15:docId w15:val="{46A32142-1CBD-4E19-98B3-3EA2735B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8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235A"/>
    <w:pPr>
      <w:ind w:left="720"/>
      <w:contextualSpacing/>
    </w:pPr>
  </w:style>
  <w:style w:type="paragraph" w:styleId="Pieddepage">
    <w:name w:val="footer"/>
    <w:basedOn w:val="Normal"/>
    <w:link w:val="PieddepageCar"/>
    <w:uiPriority w:val="99"/>
    <w:rsid w:val="004F7B05"/>
    <w:pPr>
      <w:tabs>
        <w:tab w:val="center" w:pos="4536"/>
        <w:tab w:val="right" w:pos="9072"/>
      </w:tabs>
      <w:spacing w:after="0" w:line="240" w:lineRule="auto"/>
    </w:pPr>
    <w:rPr>
      <w:rFonts w:ascii="Calibri" w:eastAsia="Times New Roman" w:hAnsi="Calibri" w:cs="Times New Roman"/>
    </w:rPr>
  </w:style>
  <w:style w:type="character" w:customStyle="1" w:styleId="PieddepageCar">
    <w:name w:val="Pied de page Car"/>
    <w:basedOn w:val="Policepardfaut"/>
    <w:link w:val="Pieddepage"/>
    <w:uiPriority w:val="99"/>
    <w:rsid w:val="004F7B05"/>
    <w:rPr>
      <w:rFonts w:ascii="Calibri" w:eastAsia="Times New Roman" w:hAnsi="Calibri" w:cs="Times New Roman"/>
    </w:rPr>
  </w:style>
  <w:style w:type="paragraph" w:styleId="Textedebulles">
    <w:name w:val="Balloon Text"/>
    <w:basedOn w:val="Normal"/>
    <w:link w:val="TextedebullesCar"/>
    <w:uiPriority w:val="99"/>
    <w:semiHidden/>
    <w:unhideWhenUsed/>
    <w:rsid w:val="003203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03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454</Words>
  <Characters>2502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flucas</dc:creator>
  <cp:lastModifiedBy>Xavier THOMAS</cp:lastModifiedBy>
  <cp:revision>4</cp:revision>
  <cp:lastPrinted>2018-01-26T16:20:00Z</cp:lastPrinted>
  <dcterms:created xsi:type="dcterms:W3CDTF">2018-02-21T13:52:00Z</dcterms:created>
  <dcterms:modified xsi:type="dcterms:W3CDTF">2018-02-21T14:38:00Z</dcterms:modified>
</cp:coreProperties>
</file>